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92"/>
        <w:jc w:val="left"/>
      </w:pPr>
      <w:r>
        <w:rPr>
          <w:rFonts w:ascii="Microsoft YaHei" w:hAnsi="Microsoft YaHei"/>
          <w:b/>
          <w:color w:val="1B5E4B"/>
          <w:sz w:val="24"/>
        </w:rPr>
      </w:r>
      <w:r>
        <w:rPr>
          <w:rFonts w:ascii="Microsoft YaHei" w:hAnsi="Microsoft YaHei" w:eastAsia="Microsoft YaHei" w:cs="Microsoft YaHei" w:hint="eastAsia"/>
          <w:b/>
          <w:color w:val="1B5E4B"/>
          <w:sz w:val="24"/>
          <w:lang w:eastAsia="zh-CN"/>
        </w:rPr>
        <w:t>商学院总院运营中心</w:t>
      </w:r>
      <w:r>
        <w:rPr>
          <w:rFonts w:ascii="Microsoft YaHei" w:hAnsi="Microsoft YaHei"/>
          <w:b/>
          <w:color w:val="1B5E4B"/>
          <w:sz w:val="24"/>
        </w:rPr>
        <w:t xml:space="preserve"> · </w:t>
      </w:r>
      <w:r>
        <w:rPr>
          <w:rFonts w:ascii="Microsoft YaHei" w:hAnsi="Microsoft YaHei" w:eastAsia="Microsoft YaHei" w:cs="Microsoft YaHei" w:hint="eastAsia"/>
          <w:b/>
          <w:color w:val="1B5E4B"/>
          <w:sz w:val="24"/>
          <w:lang w:eastAsia="zh-CN"/>
        </w:rPr>
        <w:t>标准作业手册</w:t>
      </w:r>
    </w:p>
    <w:p>
      <w:pPr>
        <w:pStyle w:val="Heading1"/>
        <w:spacing w:line="324" w:lineRule="auto" w:after="260"/>
        <w:jc w:val="left"/>
      </w:pPr>
      <w:r>
        <w:rPr>
          <w:rFonts w:ascii="Microsoft YaHei" w:hAnsi="Microsoft YaHei" w:eastAsia="Microsoft YaHei" w:cs="Microsoft YaHei" w:hint="eastAsia"/>
          <w:b/>
          <w:color w:val="1B5E4B"/>
          <w:sz w:val="52"/>
          <w:lang w:eastAsia="zh-CN"/>
        </w:rPr>
        <w:t>门店开设手册</w:t>
      </w:r>
    </w:p>
    <w:p>
      <w:pPr>
        <w:spacing w:after="276"/>
        <w:jc w:val="left"/>
      </w:pPr>
      <w:r>
        <w:rPr>
          <w:rFonts w:ascii="Microsoft YaHei" w:eastAsia="Microsoft YaHei" w:hAnsi="Microsoft YaHei" w:cs="Microsoft YaHei" w:hint="eastAsia"/>
          <w:color w:val="6B7A73"/>
          <w:sz w:val="23"/>
          <w:lang w:eastAsia="zh-CN"/>
        </w:rPr>
        <w:t>次一级门店（社区服务点</w:t>
      </w:r>
      <w:r>
        <w:rPr>
          <w:color w:val="6B7A73"/>
          <w:sz w:val="23"/>
        </w:rPr>
        <w:t xml:space="preserve"> / </w:t>
      </w:r>
      <w:r>
        <w:rPr>
          <w:rFonts w:ascii="Microsoft YaHei" w:eastAsia="Microsoft YaHei" w:hAnsi="Microsoft YaHei" w:cs="Microsoft YaHei" w:hint="eastAsia"/>
          <w:color w:val="6B7A73"/>
          <w:sz w:val="23"/>
          <w:lang w:eastAsia="zh-CN"/>
        </w:rPr>
        <w:t>合作门店</w:t>
      </w:r>
      <w:r>
        <w:rPr>
          <w:color w:val="6B7A73"/>
          <w:sz w:val="23"/>
        </w:rPr>
        <w:t xml:space="preserve"> / </w:t>
      </w:r>
      <w:r>
        <w:rPr>
          <w:rFonts w:ascii="Microsoft YaHei" w:eastAsia="Microsoft YaHei" w:hAnsi="Microsoft YaHei" w:cs="Microsoft YaHei" w:hint="eastAsia"/>
          <w:color w:val="6B7A73"/>
          <w:sz w:val="23"/>
          <w:lang w:eastAsia="zh-CN"/>
        </w:rPr>
        <w:t>店中店）开设与运营标准作业手册</w:t>
      </w:r>
    </w:p>
    <w:p>
      <w:pPr>
        <w:jc w:val="left"/>
      </w:pPr>
      <w:r>
        <w:rPr>
          <w:rFonts w:ascii="Microsoft YaHei" w:eastAsia="Microsoft YaHei" w:hAnsi="Microsoft YaHei" w:cs="Microsoft YaHei" w:hint="eastAsia"/>
          <w:color w:val="6B7A73"/>
          <w:sz w:val="19"/>
          <w:lang w:eastAsia="zh-CN"/>
        </w:rPr>
        <w:t>版本</w:t>
      </w:r>
      <w:r>
        <w:rPr>
          <w:color w:val="6B7A73"/>
          <w:sz w:val="19"/>
        </w:rPr>
        <w:t xml:space="preserve"> V1.0</w:t>
      </w:r>
      <w:r>
        <w:rPr>
          <w:rFonts w:ascii="Microsoft YaHei" w:eastAsia="Microsoft YaHei" w:hAnsi="Microsoft YaHei" w:cs="Microsoft YaHei" w:hint="eastAsia"/>
          <w:color w:val="6B7A73"/>
          <w:sz w:val="19"/>
          <w:lang w:eastAsia="zh-CN"/>
        </w:rPr>
        <w:t xml:space="preserve">　｜　适用范围：各地城市学院及其下辖门店　｜　配套文件：《</w:t>
      </w:r>
      <w:r>
        <w:rPr>
          <w:color w:val="6B7A73"/>
          <w:sz w:val="19"/>
        </w:rPr>
        <w:t xml:space="preserve">30 </w:t>
      </w:r>
      <w:r>
        <w:rPr>
          <w:rFonts w:ascii="Microsoft YaHei" w:eastAsia="Microsoft YaHei" w:hAnsi="Microsoft YaHei" w:cs="Microsoft YaHei" w:hint="eastAsia"/>
          <w:color w:val="6B7A73"/>
          <w:sz w:val="19"/>
          <w:lang w:eastAsia="zh-CN"/>
        </w:rPr>
        <w:t>人会议</w:t>
      </w:r>
      <w:r>
        <w:rPr>
          <w:color w:val="6B7A73"/>
          <w:sz w:val="19"/>
        </w:rPr>
        <w:t xml:space="preserve"> SOP </w:t>
      </w:r>
      <w:r>
        <w:rPr>
          <w:rFonts w:ascii="Microsoft YaHei" w:eastAsia="Microsoft YaHei" w:hAnsi="Microsoft YaHei" w:cs="Microsoft YaHei" w:hint="eastAsia"/>
          <w:color w:val="6B7A73"/>
          <w:sz w:val="19"/>
          <w:lang w:eastAsia="zh-CN"/>
        </w:rPr>
        <w:t>手册》《</w:t>
      </w:r>
      <w:r>
        <w:rPr>
          <w:color w:val="6B7A73"/>
          <w:sz w:val="19"/>
        </w:rPr>
        <w:t xml:space="preserve">7 </w:t>
      </w:r>
      <w:r>
        <w:rPr>
          <w:rFonts w:ascii="Microsoft YaHei" w:eastAsia="Microsoft YaHei" w:hAnsi="Microsoft YaHei" w:cs="Microsoft YaHei" w:hint="eastAsia"/>
          <w:color w:val="6B7A73"/>
          <w:sz w:val="19"/>
          <w:lang w:eastAsia="zh-CN"/>
        </w:rPr>
        <w:t>天陪跑手册》</w:t>
      </w:r>
    </w:p>
    <w:p>
      <w:pPr>
        <w:sectPr>
          <w:type w:val="nextPage"/>
          <w:pgSz w:w="11906" w:h="16838"/>
          <w:pgMar w:top="1440" w:bottom="1440" w:left="1797" w:right="1797"/>
        </w:sectPr>
      </w:pPr>
    </w:p>
    <w:p>
      <w:pPr>
        <w:spacing w:after="115"/>
        <w:jc w:val="left"/>
      </w:pPr>
      <w:r>
        <w:rPr>
          <w:rFonts w:ascii="Microsoft YaHei" w:hAnsi="Microsoft YaHei" w:eastAsia="Microsoft YaHei" w:cs="Microsoft YaHei" w:hint="eastAsia"/>
          <w:b/>
          <w:color w:val="17332A"/>
          <w:sz w:val="23"/>
          <w:lang w:eastAsia="zh-CN"/>
        </w:rPr>
        <w:t>目录</w:t>
      </w:r>
    </w:p>
    <w:p>
      <w:pPr>
        <w:pStyle w:val="ListBullet"/>
        <w:spacing w:after="63"/>
        <w:ind w:firstLine="0"/>
        <w:jc w:val="left"/>
      </w:pPr>
      <w:r>
        <w:rPr>
          <w:rFonts w:ascii="Microsoft YaHei" w:eastAsia="Microsoft YaHei" w:hAnsi="Microsoft YaHei" w:cs="Microsoft YaHei" w:hint="eastAsia"/>
          <w:color w:val="2B2B2B"/>
          <w:sz w:val="21"/>
          <w:lang w:eastAsia="zh-CN"/>
        </w:rPr>
        <w:t>一、手册说明</w:t>
      </w:r>
    </w:p>
    <w:p>
      <w:pPr>
        <w:pStyle w:val="ListBullet"/>
        <w:spacing w:after="63"/>
        <w:ind w:firstLine="0"/>
        <w:jc w:val="left"/>
      </w:pPr>
      <w:r>
        <w:rPr>
          <w:rFonts w:ascii="Microsoft YaHei" w:eastAsia="Microsoft YaHei" w:hAnsi="Microsoft YaHei" w:cs="Microsoft YaHei" w:hint="eastAsia"/>
          <w:color w:val="2B2B2B"/>
          <w:sz w:val="21"/>
          <w:lang w:eastAsia="zh-CN"/>
        </w:rPr>
        <w:t>二、门店类型与准入标准</w:t>
      </w:r>
    </w:p>
    <w:p>
      <w:pPr>
        <w:pStyle w:val="ListBullet"/>
        <w:spacing w:after="63"/>
        <w:ind w:firstLine="0"/>
        <w:jc w:val="left"/>
      </w:pPr>
      <w:r>
        <w:rPr>
          <w:rFonts w:ascii="Microsoft YaHei" w:eastAsia="Microsoft YaHei" w:hAnsi="Microsoft YaHei" w:cs="Microsoft YaHei" w:hint="eastAsia"/>
          <w:color w:val="2B2B2B"/>
          <w:sz w:val="21"/>
          <w:lang w:eastAsia="zh-CN"/>
        </w:rPr>
        <w:t>三、门店开设流程</w:t>
      </w:r>
    </w:p>
    <w:p>
      <w:pPr>
        <w:pStyle w:val="ListBullet"/>
        <w:spacing w:after="63"/>
        <w:ind w:firstLine="0"/>
        <w:jc w:val="left"/>
      </w:pPr>
      <w:r>
        <w:rPr>
          <w:rFonts w:ascii="Microsoft YaHei" w:eastAsia="Microsoft YaHei" w:hAnsi="Microsoft YaHei" w:cs="Microsoft YaHei" w:hint="eastAsia"/>
          <w:color w:val="2B2B2B"/>
          <w:sz w:val="21"/>
          <w:lang w:eastAsia="zh-CN"/>
        </w:rPr>
        <w:t>四、门店标准配置</w:t>
      </w:r>
    </w:p>
    <w:p>
      <w:pPr>
        <w:pStyle w:val="ListBullet"/>
        <w:spacing w:after="63"/>
        <w:ind w:firstLine="0"/>
        <w:jc w:val="left"/>
      </w:pPr>
      <w:r>
        <w:rPr>
          <w:rFonts w:ascii="Microsoft YaHei" w:eastAsia="Microsoft YaHei" w:hAnsi="Microsoft YaHei" w:cs="Microsoft YaHei" w:hint="eastAsia"/>
          <w:color w:val="2B2B2B"/>
          <w:sz w:val="21"/>
          <w:lang w:eastAsia="zh-CN"/>
        </w:rPr>
        <w:t>五、首场</w:t>
      </w:r>
      <w:r>
        <w:rPr>
          <w:color w:val="2B2B2B"/>
          <w:sz w:val="21"/>
        </w:rPr>
        <w:t xml:space="preserve"> 30 </w:t>
      </w:r>
      <w:r>
        <w:rPr>
          <w:rFonts w:ascii="Microsoft YaHei" w:eastAsia="Microsoft YaHei" w:hAnsi="Microsoft YaHei" w:cs="Microsoft YaHei" w:hint="eastAsia"/>
          <w:color w:val="2B2B2B"/>
          <w:sz w:val="21"/>
          <w:lang w:eastAsia="zh-CN"/>
        </w:rPr>
        <w:t>人会议复制包（门店版）</w:t>
      </w:r>
    </w:p>
    <w:p>
      <w:pPr>
        <w:pStyle w:val="ListBullet"/>
        <w:spacing w:after="63"/>
        <w:ind w:firstLine="0"/>
        <w:jc w:val="left"/>
      </w:pPr>
      <w:r>
        <w:rPr>
          <w:rFonts w:ascii="Microsoft YaHei" w:eastAsia="Microsoft YaHei" w:hAnsi="Microsoft YaHei" w:cs="Microsoft YaHei" w:hint="eastAsia"/>
          <w:color w:val="2B2B2B"/>
          <w:sz w:val="21"/>
          <w:lang w:eastAsia="zh-CN"/>
        </w:rPr>
        <w:t>六、城市学院对门店的赋能支持</w:t>
      </w:r>
    </w:p>
    <w:p>
      <w:pPr>
        <w:pStyle w:val="ListBullet"/>
        <w:spacing w:after="63"/>
        <w:ind w:firstLine="0"/>
        <w:jc w:val="left"/>
      </w:pPr>
      <w:r>
        <w:rPr>
          <w:rFonts w:ascii="Microsoft YaHei" w:eastAsia="Microsoft YaHei" w:hAnsi="Microsoft YaHei" w:cs="Microsoft YaHei" w:hint="eastAsia"/>
          <w:color w:val="2B2B2B"/>
          <w:sz w:val="21"/>
          <w:lang w:eastAsia="zh-CN"/>
        </w:rPr>
        <w:t>七、门店经营指标与考核</w:t>
      </w:r>
    </w:p>
    <w:p>
      <w:pPr>
        <w:pStyle w:val="ListBullet"/>
        <w:spacing w:after="63"/>
        <w:ind w:firstLine="0"/>
        <w:jc w:val="left"/>
      </w:pPr>
      <w:r>
        <w:rPr>
          <w:rFonts w:ascii="Microsoft YaHei" w:eastAsia="Microsoft YaHei" w:hAnsi="Microsoft YaHei" w:cs="Microsoft YaHei" w:hint="eastAsia"/>
          <w:color w:val="2B2B2B"/>
          <w:sz w:val="21"/>
          <w:lang w:eastAsia="zh-CN"/>
        </w:rPr>
        <w:t>八、提货、结算与激励</w:t>
      </w:r>
    </w:p>
    <w:p>
      <w:pPr>
        <w:pStyle w:val="ListBullet"/>
        <w:spacing w:after="63"/>
        <w:ind w:firstLine="0"/>
        <w:jc w:val="left"/>
      </w:pPr>
      <w:r>
        <w:rPr>
          <w:rFonts w:ascii="Microsoft YaHei" w:eastAsia="Microsoft YaHei" w:hAnsi="Microsoft YaHei" w:cs="Microsoft YaHei" w:hint="eastAsia"/>
          <w:color w:val="2B2B2B"/>
          <w:sz w:val="21"/>
          <w:lang w:eastAsia="zh-CN"/>
        </w:rPr>
        <w:t>九、门店合规红线</w:t>
      </w:r>
    </w:p>
    <w:p>
      <w:pPr>
        <w:pStyle w:val="ListBullet"/>
        <w:spacing w:after="63"/>
        <w:ind w:firstLine="0"/>
        <w:jc w:val="left"/>
      </w:pPr>
      <w:r>
        <w:rPr>
          <w:rFonts w:ascii="Microsoft YaHei" w:eastAsia="Microsoft YaHei" w:hAnsi="Microsoft YaHei" w:cs="Microsoft YaHei" w:hint="eastAsia"/>
          <w:color w:val="2B2B2B"/>
          <w:sz w:val="21"/>
          <w:lang w:eastAsia="zh-CN"/>
        </w:rPr>
        <w:t>十、门店退出机制</w:t>
      </w:r>
    </w:p>
    <w:p>
      <w:pPr>
        <w:sectPr>
          <w:type w:val="nextPage"/>
          <w:pgSz w:w="11906" w:h="16838"/>
          <w:pgMar w:top="1440" w:bottom="1440" w:left="1797" w:right="1797"/>
        </w:sectPr>
      </w:pPr>
    </w:p>
    <w:p>
      <w:pPr>
        <w:jc w:val="left"/>
      </w:pPr>
      <w:r>
        <w:rPr>
          <w:rFonts w:ascii="Microsoft YaHei" w:hAnsi="Microsoft YaHei" w:eastAsia="Microsoft YaHei" w:cs="Microsoft YaHei" w:hint="eastAsia"/>
          <w:b/>
          <w:color w:val="17332A"/>
          <w:sz w:val="26"/>
          <w:lang w:eastAsia="zh-CN"/>
        </w:rPr>
        <w:t>门店标准速览</w:t>
      </w:r>
    </w:p>
    <w:p/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vAlign w:val="center"/>
            <w:tcMar>
              <w:top w:w="72" w:type="dxa"/>
              <w:bottom w:w="72" w:type="dxa"/>
              <w:left w:w="192" w:type="dxa"/>
              <w:right w:w="192" w:type="dxa"/>
            </w:tcMar>
          </w:tcPr>
          <w:p>
            <w:pPr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6B7A73"/>
                <w:sz w:val="19"/>
              </w:rPr>
              <w:t>场地门槛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vAlign w:val="center"/>
            <w:tcMar>
              <w:top w:w="72" w:type="dxa"/>
              <w:bottom w:w="72" w:type="dxa"/>
              <w:left w:w="192" w:type="dxa"/>
              <w:right w:w="192" w:type="dxa"/>
            </w:tcMar>
          </w:tcPr>
          <w:p>
            <w:pPr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6B7A73"/>
                <w:sz w:val="19"/>
              </w:rPr>
              <w:t>人员门槛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vAlign w:val="center"/>
            <w:tcMar>
              <w:top w:w="72" w:type="dxa"/>
              <w:bottom w:w="72" w:type="dxa"/>
              <w:left w:w="192" w:type="dxa"/>
              <w:right w:w="192" w:type="dxa"/>
            </w:tcMar>
          </w:tcPr>
          <w:p>
            <w:pPr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6B7A73"/>
                <w:sz w:val="19"/>
              </w:rPr>
              <w:t>月度建档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vAlign w:val="center"/>
            <w:tcMar>
              <w:top w:w="72" w:type="dxa"/>
              <w:bottom w:w="72" w:type="dxa"/>
              <w:left w:w="192" w:type="dxa"/>
              <w:right w:w="192" w:type="dxa"/>
            </w:tcMar>
          </w:tcPr>
          <w:p>
            <w:pPr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6B7A73"/>
                <w:sz w:val="19"/>
              </w:rPr>
              <w:t>体验转化</w:t>
            </w:r>
          </w:p>
        </w:tc>
      </w:tr>
      <w:tr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FFFFF"/>
            <w:vAlign w:val="center"/>
            <w:tcMar>
              <w:top w:w="192" w:type="dxa"/>
              <w:bottom w:w="192" w:type="dxa"/>
              <w:left w:w="192" w:type="dxa"/>
              <w:right w:w="192" w:type="dxa"/>
            </w:tcMar>
          </w:tcPr>
          <w:p>
            <w:pPr>
              <w:jc w:val="center"/>
              <w:spacing w:line="240" w:lineRule="auto" w:before="47" w:after="47"/>
            </w:pPr>
            <w:r>
              <w:rPr>
                <w:b/>
                <w:color w:val="6B7A73"/>
                <w:sz w:val="19"/>
              </w:rPr>
              <w:t>≥20㎡</w:t>
            </w:r>
            <w:r>
              <w:rPr>
                <w:color w:val="6B7A73"/>
                <w:sz w:val="19"/>
              </w:rPr>
              <w:t xml:space="preserve"> </w:t>
            </w:r>
            <w:r>
              <w:rPr>
                <w:color w:val="6B7A73"/>
                <w:sz w:val="19"/>
              </w:rPr>
              <w:t>社区服务点</w:t>
            </w:r>
            <w:r>
              <w:rPr>
                <w:color w:val="6B7A73"/>
                <w:sz w:val="19"/>
              </w:rPr>
              <w:t xml:space="preserve"> </w:t>
            </w:r>
            <w:r>
              <w:rPr>
                <w:color w:val="6B7A73"/>
                <w:sz w:val="19"/>
              </w:rPr>
              <w:t xml:space="preserve"> / ≥10㎡ </w:t>
            </w:r>
            <w:r>
              <w:rPr>
                <w:color w:val="6B7A73"/>
                <w:sz w:val="19"/>
              </w:rPr>
              <w:t xml:space="preserve"> </w:t>
            </w:r>
            <w:r>
              <w:rPr>
                <w:color w:val="6B7A73"/>
                <w:sz w:val="19"/>
              </w:rPr>
              <w:t>专区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FFFFF"/>
            <w:vAlign w:val="center"/>
            <w:tcMar>
              <w:top w:w="192" w:type="dxa"/>
              <w:bottom w:w="192" w:type="dxa"/>
              <w:left w:w="192" w:type="dxa"/>
              <w:right w:w="192" w:type="dxa"/>
            </w:tcMar>
          </w:tcPr>
          <w:p>
            <w:pPr>
              <w:jc w:val="center"/>
              <w:spacing w:line="240" w:lineRule="auto" w:before="47" w:after="47"/>
            </w:pPr>
            <w:r>
              <w:rPr>
                <w:b/>
                <w:color w:val="6B7A73"/>
                <w:sz w:val="19"/>
              </w:rPr>
              <w:t>1 名</w:t>
            </w:r>
            <w:r>
              <w:rPr>
                <w:color w:val="6B7A73"/>
                <w:sz w:val="19"/>
              </w:rPr>
              <w:t xml:space="preserve"> 负责人（持证优先）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FFFFF"/>
            <w:vAlign w:val="center"/>
            <w:tcMar>
              <w:top w:w="192" w:type="dxa"/>
              <w:bottom w:w="192" w:type="dxa"/>
              <w:left w:w="192" w:type="dxa"/>
              <w:right w:w="192" w:type="dxa"/>
            </w:tcMar>
          </w:tcPr>
          <w:p>
            <w:pPr>
              <w:jc w:val="center"/>
              <w:spacing w:line="240" w:lineRule="auto" w:before="47" w:after="47"/>
            </w:pPr>
            <w:r>
              <w:rPr>
                <w:b/>
                <w:color w:val="6B7A73"/>
                <w:sz w:val="19"/>
              </w:rPr>
              <w:t>≥20 人</w:t>
            </w:r>
            <w:r>
              <w:rPr>
                <w:color w:val="6B7A73"/>
                <w:sz w:val="19"/>
              </w:rPr>
              <w:t xml:space="preserve"> 新增客户建档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FFFFF"/>
            <w:vAlign w:val="center"/>
            <w:tcMar>
              <w:top w:w="192" w:type="dxa"/>
              <w:bottom w:w="192" w:type="dxa"/>
              <w:left w:w="192" w:type="dxa"/>
              <w:right w:w="192" w:type="dxa"/>
            </w:tcMar>
          </w:tcPr>
          <w:p>
            <w:pPr>
              <w:jc w:val="center"/>
              <w:spacing w:line="240" w:lineRule="auto" w:before="47" w:after="47"/>
            </w:pPr>
            <w:r>
              <w:rPr>
                <w:b/>
                <w:color w:val="6B7A73"/>
                <w:sz w:val="19"/>
              </w:rPr>
              <w:t>≥30%</w:t>
            </w:r>
            <w:r>
              <w:rPr>
                <w:color w:val="6B7A73"/>
                <w:sz w:val="19"/>
              </w:rPr>
              <w:t xml:space="preserve"> 体验转化率</w:t>
            </w:r>
          </w:p>
        </w:tc>
      </w:tr>
    </w:tbl>
    <w:p>
      <w:bookmarkStart w:id="0" w:name="section-1"/>
      <w:pPr>
        <w:pStyle w:val="Heading2"/>
        <w:spacing w:line="324" w:lineRule="auto" w:before="576" w:after="224"/>
        <w:jc w:val="left"/>
        <w:pBdr>
          <w:left w:val="single" w:sz="18" w:space="10" w:color="1B5E4B"/>
        </w:pBdr>
      </w:pPr>
      <w:bookmarkEnd w:id="0"/>
      <w:r>
        <w:rPr>
          <w:rFonts w:ascii="Microsoft YaHei" w:hAnsi="Microsoft YaHei" w:eastAsia="Microsoft YaHei" w:cs="Microsoft YaHei" w:hint="eastAsia"/>
          <w:b/>
          <w:color w:val="17332A"/>
          <w:sz w:val="32"/>
          <w:lang w:eastAsia="zh-CN"/>
        </w:rPr>
        <w:t>一、手册说明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本章说明手册的编制目的、适用对象，以及门店在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总院</w:t>
      </w:r>
      <w:r>
        <w:t>—</w:t>
      </w:r>
      <w:r>
        <w:rPr>
          <w:rFonts w:ascii="Microsoft YaHei" w:eastAsia="Microsoft YaHei" w:hAnsi="Microsoft YaHei" w:cs="Microsoft YaHei" w:hint="eastAsia"/>
          <w:lang w:eastAsia="zh-CN"/>
        </w:rPr>
        <w:t>城市学院</w:t>
      </w:r>
      <w:r>
        <w:t>—</w:t>
      </w:r>
      <w:r>
        <w:rPr>
          <w:rFonts w:ascii="Microsoft YaHei" w:eastAsia="Microsoft YaHei" w:hAnsi="Microsoft YaHei" w:cs="Microsoft YaHei" w:hint="eastAsia"/>
          <w:lang w:eastAsia="zh-CN"/>
        </w:rPr>
        <w:t>门店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三级网络中的定位与关系原则。</w:t>
      </w:r>
    </w:p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（一）编制目的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门店是商学院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总院</w:t>
      </w:r>
      <w:r>
        <w:t>—</w:t>
      </w:r>
      <w:r>
        <w:rPr>
          <w:rFonts w:ascii="Microsoft YaHei" w:eastAsia="Microsoft YaHei" w:hAnsi="Microsoft YaHei" w:cs="Microsoft YaHei" w:hint="eastAsia"/>
          <w:lang w:eastAsia="zh-CN"/>
        </w:rPr>
        <w:t>城市学院</w:t>
      </w:r>
      <w:r>
        <w:t>—</w:t>
      </w:r>
      <w:r>
        <w:rPr>
          <w:rFonts w:ascii="Microsoft YaHei" w:eastAsia="Microsoft YaHei" w:hAnsi="Microsoft YaHei" w:cs="Microsoft YaHei" w:hint="eastAsia"/>
          <w:lang w:eastAsia="zh-CN"/>
        </w:rPr>
        <w:t>门店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三级网络的末端触角，承担本地获客、体验、服务与转介绍职能。城市学院做大做强的关键，不在于自己多开几场会，而在于能否标准化、批量化地发展门店。本手册把门店从申请到开业、从赋能到考核的全流程标准化，使城市学院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照着做就能开点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，使门店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照着做就能生存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。</w:t>
      </w:r>
    </w:p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（二）适用对象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本手册适用于城市学院院长与门店发展专员、拟申请开设门店的店主或社区创业者，以及总院督导人员。</w:t>
      </w:r>
    </w:p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（三）门店在三级网络中的定位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层级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角色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核心职能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收益来源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总院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品牌与标准输出方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制定标准、研发课程、供应产品、督导演检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加盟费、品牌管理费、提货差价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城市学院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区域交付与赋能方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招生开课、发展门店、赋能门店、组织会议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培训学费、提货分销、门店推荐奖励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门店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本地获客与服务方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引流获客、体验服务、转介绍、协助招生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服务收入、转介绍佣金、提货返利</w:t>
            </w:r>
          </w:p>
        </w:tc>
      </w:tr>
    </w:tbl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关系原则：</w:t>
      </w:r>
      <w:r>
        <w:rPr>
          <w:rFonts w:ascii="Microsoft YaHei" w:eastAsia="Microsoft YaHei" w:hAnsi="Microsoft YaHei" w:cs="Microsoft YaHei" w:hint="eastAsia"/>
          <w:lang w:eastAsia="zh-CN"/>
        </w:rPr>
        <w:t>门店不独立开课、不独立招生认证，主要承担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引流</w:t>
      </w:r>
      <w:r>
        <w:t xml:space="preserve"> + </w:t>
      </w:r>
      <w:r>
        <w:rPr>
          <w:rFonts w:ascii="Microsoft YaHei" w:eastAsia="Microsoft YaHei" w:hAnsi="Microsoft YaHei" w:cs="Microsoft YaHei" w:hint="eastAsia"/>
          <w:lang w:eastAsia="zh-CN"/>
        </w:rPr>
        <w:t>服务</w:t>
      </w:r>
      <w:r>
        <w:t xml:space="preserve"> + </w:t>
      </w:r>
      <w:r>
        <w:rPr>
          <w:rFonts w:ascii="Microsoft YaHei" w:eastAsia="Microsoft YaHei" w:hAnsi="Microsoft YaHei" w:cs="Microsoft YaHei" w:hint="eastAsia"/>
          <w:lang w:eastAsia="zh-CN"/>
        </w:rPr>
        <w:t>转介绍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；学员培训与认证统一由城市学院交付，门店按推荐成交获得佣金。</w:t>
      </w:r>
    </w:p>
    <w:p>
      <w:bookmarkStart w:id="1" w:name="section-2"/>
      <w:pPr>
        <w:pStyle w:val="Heading2"/>
        <w:spacing w:line="324" w:lineRule="auto" w:before="576" w:after="224"/>
        <w:jc w:val="left"/>
        <w:pBdr>
          <w:left w:val="single" w:sz="18" w:space="10" w:color="1B5E4B"/>
        </w:pBdr>
      </w:pPr>
      <w:bookmarkEnd w:id="1"/>
      <w:r>
        <w:rPr>
          <w:rFonts w:ascii="Microsoft YaHei" w:hAnsi="Microsoft YaHei" w:eastAsia="Microsoft YaHei" w:cs="Microsoft YaHei" w:hint="eastAsia"/>
          <w:b/>
          <w:color w:val="17332A"/>
          <w:sz w:val="32"/>
          <w:lang w:eastAsia="zh-CN"/>
        </w:rPr>
        <w:t>二、门店类型与准入标准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门店门槛低但不失规范。本章明确三类门店形态、准入三条件与申请材料，体现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低门槛进、高标准管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。</w:t>
      </w:r>
    </w:p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（一）门店类型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说明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最小场地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人员要求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社区服务点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设在社区、面向周边居民的体验与服务点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≥20㎡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 xml:space="preserve">1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名负责人（持证者优先）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合作门店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既有养生馆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/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美容店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/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理疗店等门店，挂靠合作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现有门店场地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现有从业人员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店中店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在门店内设专区，以商学院品牌专区形式运营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≥10㎡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专区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门店现有人员</w:t>
            </w:r>
          </w:p>
        </w:tc>
      </w:tr>
    </w:tbl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（二）准入三条件</w:t>
      </w:r>
    </w:p>
    <w:p>
      <w:pPr>
        <w:pStyle w:val="ListNumber"/>
        <w:numPr>
          <w:ilvl w:val="0"/>
          <w:numId w:val="10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场地</w:t>
      </w:r>
      <w:r>
        <w:rPr>
          <w:rFonts w:ascii="Microsoft YaHei" w:eastAsia="Microsoft YaHei" w:hAnsi="Microsoft YaHei" w:cs="Microsoft YaHei" w:hint="eastAsia"/>
          <w:lang w:eastAsia="zh-CN"/>
        </w:rPr>
        <w:t>：具备实际经营场地，可用于体验与服务（社区服务点</w:t>
      </w:r>
      <w:r>
        <w:t xml:space="preserve"> ≥20㎡</w:t>
      </w:r>
      <w:r>
        <w:rPr>
          <w:rFonts w:ascii="Microsoft YaHei" w:eastAsia="Microsoft YaHei" w:hAnsi="Microsoft YaHei" w:cs="Microsoft YaHei" w:hint="eastAsia"/>
          <w:lang w:eastAsia="zh-CN"/>
        </w:rPr>
        <w:t>，店中店专区</w:t>
      </w:r>
      <w:r>
        <w:t xml:space="preserve"> ≥10㎡</w:t>
      </w:r>
      <w:r>
        <w:rPr>
          <w:rFonts w:ascii="Microsoft YaHei" w:eastAsia="Microsoft YaHei" w:hAnsi="Microsoft YaHei" w:cs="Microsoft YaHei" w:hint="eastAsia"/>
          <w:lang w:eastAsia="zh-CN"/>
        </w:rPr>
        <w:t>）；</w:t>
      </w:r>
    </w:p>
    <w:p>
      <w:pPr>
        <w:pStyle w:val="ListNumber"/>
        <w:numPr>
          <w:ilvl w:val="0"/>
          <w:numId w:val="10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人员</w:t>
      </w:r>
      <w:r>
        <w:rPr>
          <w:rFonts w:ascii="Microsoft YaHei" w:eastAsia="Microsoft YaHei" w:hAnsi="Microsoft YaHei" w:cs="Microsoft YaHei" w:hint="eastAsia"/>
          <w:lang w:eastAsia="zh-CN"/>
        </w:rPr>
        <w:t>：至少</w:t>
      </w:r>
      <w:r>
        <w:t xml:space="preserve"> 1 </w:t>
      </w:r>
      <w:r>
        <w:rPr>
          <w:rFonts w:ascii="Microsoft YaHei" w:eastAsia="Microsoft YaHei" w:hAnsi="Microsoft YaHei" w:cs="Microsoft YaHei" w:hint="eastAsia"/>
          <w:lang w:eastAsia="zh-CN"/>
        </w:rPr>
        <w:t>名负责人，持证调理师优先；未持证的须在</w:t>
      </w:r>
      <w:r>
        <w:t xml:space="preserve"> 6 </w:t>
      </w:r>
      <w:r>
        <w:rPr>
          <w:rFonts w:ascii="Microsoft YaHei" w:eastAsia="Microsoft YaHei" w:hAnsi="Microsoft YaHei" w:cs="Microsoft YaHei" w:hint="eastAsia"/>
          <w:lang w:eastAsia="zh-CN"/>
        </w:rPr>
        <w:t>个月内参加城市学院调理师认证班并取得证书；</w:t>
      </w:r>
    </w:p>
    <w:p>
      <w:pPr>
        <w:pStyle w:val="ListNumber"/>
        <w:numPr>
          <w:ilvl w:val="0"/>
          <w:numId w:val="10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合规</w:t>
      </w:r>
      <w:r>
        <w:rPr>
          <w:rFonts w:ascii="Microsoft YaHei" w:eastAsia="Microsoft YaHei" w:hAnsi="Microsoft YaHei" w:cs="Microsoft YaHei" w:hint="eastAsia"/>
          <w:lang w:eastAsia="zh-CN"/>
        </w:rPr>
        <w:t>：营业执照经营范围涵盖养生保健服务类（合作门店沿用存量执照）；无重大违法违规记录；经营场所符合属地要求。</w:t>
      </w:r>
    </w:p>
    <w:p>
      <w:pPr>
        <w:spacing w:line="408" w:lineRule="auto" w:before="0" w:after="168"/>
        <w:ind w:firstLine="0"/>
        <w:jc w:val="both"/>
        <w:pBdr>
          <w:left w:val="single" w:sz="18" w:space="0" w:color="1B5E4B"/>
        </w:pBdr>
        <w:shd w:val="clear" w:color="auto" w:fill="F2F7F5"/>
      </w:pPr>
      <w:r>
        <w:rPr>
          <w:rFonts w:ascii="Microsoft YaHei" w:eastAsia="Microsoft YaHei" w:hAnsi="Microsoft YaHei" w:cs="Microsoft YaHei" w:hint="eastAsia"/>
          <w:lang w:eastAsia="zh-CN"/>
        </w:rPr>
        <w:t>说明：门店准入由城市学院审核并报总院备案，标准低于城市学院（城市学院由总院审核）。门店准入的放宽体现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低门槛进、高标准管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。</w:t>
      </w:r>
    </w:p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（三）门店申请材料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门店申请表、负责人身份证件、场地证明（产权或租赁）、营业执照副本（如有）、从业人员名单及证书（如有）、推荐城市学院意见。</w:t>
      </w:r>
    </w:p>
    <w:p>
      <w:bookmarkStart w:id="2" w:name="section-3"/>
      <w:pPr>
        <w:pStyle w:val="Heading2"/>
        <w:spacing w:line="324" w:lineRule="auto" w:before="576" w:after="224"/>
        <w:jc w:val="left"/>
        <w:pBdr>
          <w:left w:val="single" w:sz="18" w:space="10" w:color="1B5E4B"/>
        </w:pBdr>
      </w:pPr>
      <w:bookmarkEnd w:id="2"/>
      <w:r>
        <w:rPr>
          <w:rFonts w:ascii="Microsoft YaHei" w:hAnsi="Microsoft YaHei" w:eastAsia="Microsoft YaHei" w:cs="Microsoft YaHei" w:hint="eastAsia"/>
          <w:b/>
          <w:color w:val="17332A"/>
          <w:sz w:val="32"/>
          <w:lang w:eastAsia="zh-CN"/>
        </w:rPr>
        <w:t>三、门店开设流程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本章给出门店从申请到开业的六步流程与协议要点，明确各环节责任方与时限。</w:t>
      </w:r>
    </w:p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（一）六步开设流程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责任方</w:t>
            </w:r>
          </w:p>
        </w:tc>
        <w:tc>
          <w:tcPr>
            <w:tcW w:type="dxa" w:w="216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时限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申请提交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门店申请人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 xml:space="preserve"> →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城市学院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—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2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城市学院初审（场地、人员核验）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城市学院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 xml:space="preserve">3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个工作日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3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总院备案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总院运营中心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 xml:space="preserve">3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个工作日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4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签订《门店合作协议》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城市学院与门店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 xml:space="preserve">1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个工作日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5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授权与配置（品牌授权、物料、系统）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城市学院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 xml:space="preserve">5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个工作日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6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开业运营，纳入城市学院赋能体系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门店</w:t>
            </w:r>
          </w:p>
        </w:tc>
        <w:tc>
          <w:tcPr>
            <w:tcW w:type="dxa" w:w="216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—</w:t>
            </w:r>
          </w:p>
        </w:tc>
      </w:tr>
    </w:tbl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（二）门店合作协议要点</w:t>
      </w:r>
    </w:p>
    <w:p>
      <w:pPr>
        <w:pStyle w:val="ListNumber"/>
        <w:numPr>
          <w:ilvl w:val="0"/>
          <w:numId w:val="11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授权范围：明确门店为本城市学院下辖门店，不得跨区经营、不得转授权；</w:t>
      </w:r>
    </w:p>
    <w:p>
      <w:pPr>
        <w:pStyle w:val="ListNumber"/>
        <w:numPr>
          <w:ilvl w:val="0"/>
          <w:numId w:val="11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经营边界：门店不得自行开课、自行定价、自行招生认证；</w:t>
      </w:r>
    </w:p>
    <w:p>
      <w:pPr>
        <w:pStyle w:val="ListNumber"/>
        <w:numPr>
          <w:ilvl w:val="0"/>
          <w:numId w:val="11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佣金与返利：明确转介绍佣金比例、提货返利标准、结算周期；</w:t>
      </w:r>
    </w:p>
    <w:p>
      <w:pPr>
        <w:pStyle w:val="ListNumber"/>
        <w:numPr>
          <w:ilvl w:val="0"/>
          <w:numId w:val="11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品牌规范：统一门头、物料、话术，不得擅自使用商学院品牌开发业务；</w:t>
      </w:r>
    </w:p>
    <w:p>
      <w:pPr>
        <w:pStyle w:val="ListNumber"/>
        <w:numPr>
          <w:ilvl w:val="0"/>
          <w:numId w:val="11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合规要求：不得涉医疗宣传、不得虚假承诺，客户信息依规保护；</w:t>
      </w:r>
    </w:p>
    <w:p>
      <w:pPr>
        <w:pStyle w:val="ListNumber"/>
        <w:numPr>
          <w:ilvl w:val="0"/>
          <w:numId w:val="11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期限与退出：协议期限、续约条件、退出与清算条款。</w:t>
      </w:r>
    </w:p>
    <w:p>
      <w:bookmarkStart w:id="3" w:name="section-4"/>
      <w:pPr>
        <w:pStyle w:val="Heading2"/>
        <w:spacing w:line="324" w:lineRule="auto" w:before="576" w:after="224"/>
        <w:jc w:val="left"/>
        <w:pBdr>
          <w:left w:val="single" w:sz="18" w:space="10" w:color="1B5E4B"/>
        </w:pBdr>
      </w:pPr>
      <w:bookmarkEnd w:id="3"/>
      <w:r>
        <w:rPr>
          <w:rFonts w:ascii="Microsoft YaHei" w:hAnsi="Microsoft YaHei" w:eastAsia="Microsoft YaHei" w:cs="Microsoft YaHei" w:hint="eastAsia"/>
          <w:b/>
          <w:color w:val="17332A"/>
          <w:sz w:val="32"/>
          <w:lang w:eastAsia="zh-CN"/>
        </w:rPr>
        <w:t>四、门店标准配置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门店虽小，但场地分区、人员与物料配置必须达到基本标准，才能支撑体验与转介绍业务。</w:t>
      </w:r>
    </w:p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（一）场地与功能分区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门店场地虽小，但功能分区要清晰：接待区（客户咨询）、体验区（技术体验</w:t>
      </w:r>
      <w:r>
        <w:t>/</w:t>
      </w:r>
      <w:r>
        <w:rPr>
          <w:rFonts w:ascii="Microsoft YaHei" w:eastAsia="Microsoft YaHei" w:hAnsi="Microsoft YaHei" w:cs="Microsoft YaHei" w:hint="eastAsia"/>
          <w:lang w:eastAsia="zh-CN"/>
        </w:rPr>
        <w:t>服务）、展示区（商学院品牌与课程展示）。社区服务点建议</w:t>
      </w:r>
      <w:r>
        <w:t xml:space="preserve"> ≥20㎡</w:t>
      </w:r>
      <w:r>
        <w:rPr>
          <w:rFonts w:ascii="Microsoft YaHei" w:eastAsia="Microsoft YaHei" w:hAnsi="Microsoft YaHei" w:cs="Microsoft YaHei" w:hint="eastAsia"/>
          <w:lang w:eastAsia="zh-CN"/>
        </w:rPr>
        <w:t>，其中体验区不少于</w:t>
      </w:r>
      <w:r>
        <w:t xml:space="preserve"> 10㎡</w:t>
      </w:r>
      <w:r>
        <w:rPr>
          <w:rFonts w:ascii="Microsoft YaHei" w:eastAsia="Microsoft YaHei" w:hAnsi="Microsoft YaHei" w:cs="Microsoft YaHei" w:hint="eastAsia"/>
          <w:lang w:eastAsia="zh-CN"/>
        </w:rPr>
        <w:t>。</w:t>
      </w:r>
    </w:p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（二）人员配置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岗位</w:t>
            </w:r>
          </w:p>
        </w:tc>
        <w:tc>
          <w:tcPr>
            <w:tcW w:type="dxa" w:w="288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人数</w:t>
            </w:r>
          </w:p>
        </w:tc>
        <w:tc>
          <w:tcPr>
            <w:tcW w:type="dxa" w:w="288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职责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门店负责人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整体经营、客户维护、与城市学院对接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服务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/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调理人员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1—2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客户体验服务、转介绍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兼职邀约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视情况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客户邀约、社群维护</w:t>
            </w:r>
          </w:p>
        </w:tc>
      </w:tr>
    </w:tbl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（三）标准物料与工具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类别</w:t>
            </w:r>
          </w:p>
        </w:tc>
        <w:tc>
          <w:tcPr>
            <w:tcW w:type="dxa" w:w="432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清单</w:t>
            </w:r>
          </w:p>
        </w:tc>
      </w:tr>
      <w:tr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品牌物料</w:t>
            </w:r>
          </w:p>
        </w:tc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门头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/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专区分区牌、易拉宝、桌牌、工牌（统一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 xml:space="preserve"> VI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）</w:t>
            </w:r>
          </w:p>
        </w:tc>
      </w:tr>
      <w:tr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业务物料</w:t>
            </w:r>
          </w:p>
        </w:tc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课程与价目单页、门店合作政策、转介绍卡、体验券</w:t>
            </w:r>
          </w:p>
        </w:tc>
      </w:tr>
      <w:tr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客户工具</w:t>
            </w:r>
          </w:p>
        </w:tc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客户档案表、体验登记表、转介绍登记表</w:t>
            </w:r>
          </w:p>
        </w:tc>
      </w:tr>
      <w:tr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系统工具</w:t>
            </w:r>
          </w:p>
        </w:tc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门店账号（提货下单、客户录入、佣金查询）</w:t>
            </w:r>
          </w:p>
        </w:tc>
      </w:tr>
    </w:tbl>
    <w:p>
      <w:bookmarkStart w:id="4" w:name="section-5"/>
      <w:pPr>
        <w:pStyle w:val="Heading2"/>
        <w:spacing w:line="324" w:lineRule="auto" w:before="576" w:after="224"/>
        <w:jc w:val="left"/>
        <w:pBdr>
          <w:left w:val="single" w:sz="18" w:space="10" w:color="1B5E4B"/>
        </w:pBdr>
      </w:pPr>
      <w:bookmarkEnd w:id="4"/>
      <w:r>
        <w:rPr>
          <w:rFonts w:ascii="Microsoft YaHei" w:hAnsi="Microsoft YaHei" w:eastAsia="Microsoft YaHei" w:cs="Microsoft YaHei" w:hint="eastAsia"/>
          <w:b/>
          <w:color w:val="17332A"/>
          <w:sz w:val="32"/>
          <w:lang w:eastAsia="zh-CN"/>
        </w:rPr>
        <w:t>五、首场 30 人会议复制包（门店版）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门店开业不强制举办</w:t>
      </w:r>
      <w:r>
        <w:t xml:space="preserve"> 30 </w:t>
      </w:r>
      <w:r>
        <w:rPr>
          <w:rFonts w:ascii="Microsoft YaHei" w:eastAsia="Microsoft YaHei" w:hAnsi="Microsoft YaHei" w:cs="Microsoft YaHei" w:hint="eastAsia"/>
          <w:lang w:eastAsia="zh-CN"/>
        </w:rPr>
        <w:t>人会议，但鼓励在城市学院支持下举办一场小型体验会，快速打开本地认知。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城市学院向门店提供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小型体验会复制包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，门店按会前、会中、会后三段执行：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288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门店版动作</w:t>
            </w:r>
          </w:p>
        </w:tc>
        <w:tc>
          <w:tcPr>
            <w:tcW w:type="dxa" w:w="288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城市学院支持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会前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邀约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 xml:space="preserve"> 30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人以上（邻里、社群、老客户）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提供邀约话术、海报、名单表模板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会中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体验服务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 xml:space="preserve"> +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城市学院讲师主题分享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城市学院派讲师主讲或线上支持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会后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转介绍与体验券发放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提供跟进表、体验券</w:t>
            </w:r>
          </w:p>
        </w:tc>
      </w:tr>
    </w:tbl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目标：</w:t>
      </w:r>
      <w:r>
        <w:rPr>
          <w:rFonts w:ascii="Microsoft YaHei" w:eastAsia="Microsoft YaHei" w:hAnsi="Microsoft YaHei" w:cs="Microsoft YaHei" w:hint="eastAsia"/>
          <w:lang w:eastAsia="zh-CN"/>
        </w:rPr>
        <w:t>到会</w:t>
      </w:r>
      <w:r>
        <w:t xml:space="preserve"> ≥15 </w:t>
      </w:r>
      <w:r>
        <w:rPr>
          <w:rFonts w:ascii="Microsoft YaHei" w:eastAsia="Microsoft YaHei" w:hAnsi="Microsoft YaHei" w:cs="Microsoft YaHei" w:hint="eastAsia"/>
          <w:lang w:eastAsia="zh-CN"/>
        </w:rPr>
        <w:t>人，体验转化</w:t>
      </w:r>
      <w:r>
        <w:t xml:space="preserve"> ≥5 </w:t>
      </w:r>
      <w:r>
        <w:rPr>
          <w:rFonts w:ascii="Microsoft YaHei" w:eastAsia="Microsoft YaHei" w:hAnsi="Microsoft YaHei" w:cs="Microsoft YaHei" w:hint="eastAsia"/>
          <w:lang w:eastAsia="zh-CN"/>
        </w:rPr>
        <w:t>人，转介绍线索</w:t>
      </w:r>
      <w:r>
        <w:t xml:space="preserve"> ≥10 </w:t>
      </w:r>
      <w:r>
        <w:rPr>
          <w:rFonts w:ascii="Microsoft YaHei" w:eastAsia="Microsoft YaHei" w:hAnsi="Microsoft YaHei" w:cs="Microsoft YaHei" w:hint="eastAsia"/>
          <w:lang w:eastAsia="zh-CN"/>
        </w:rPr>
        <w:t>条。</w:t>
      </w:r>
    </w:p>
    <w:p>
      <w:bookmarkStart w:id="5" w:name="section-6"/>
      <w:pPr>
        <w:pStyle w:val="Heading2"/>
        <w:spacing w:line="324" w:lineRule="auto" w:before="576" w:after="224"/>
        <w:jc w:val="left"/>
        <w:pBdr>
          <w:left w:val="single" w:sz="18" w:space="10" w:color="1B5E4B"/>
        </w:pBdr>
      </w:pPr>
      <w:bookmarkEnd w:id="5"/>
      <w:r>
        <w:rPr>
          <w:rFonts w:ascii="Microsoft YaHei" w:hAnsi="Microsoft YaHei" w:eastAsia="Microsoft YaHei" w:cs="Microsoft YaHei" w:hint="eastAsia"/>
          <w:b/>
          <w:color w:val="17332A"/>
          <w:sz w:val="32"/>
          <w:lang w:eastAsia="zh-CN"/>
        </w:rPr>
        <w:t>六、城市学院对门店的赋能支持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门店不能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一签了之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。城市学院对门店实行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诊断</w:t>
      </w:r>
      <w:r>
        <w:t>—</w:t>
      </w:r>
      <w:r>
        <w:rPr>
          <w:rFonts w:ascii="Microsoft YaHei" w:eastAsia="Microsoft YaHei" w:hAnsi="Microsoft YaHei" w:cs="Microsoft YaHei" w:hint="eastAsia"/>
          <w:lang w:eastAsia="zh-CN"/>
        </w:rPr>
        <w:t>方案</w:t>
      </w:r>
      <w:r>
        <w:t>—</w:t>
      </w:r>
      <w:r>
        <w:rPr>
          <w:rFonts w:ascii="Microsoft YaHei" w:eastAsia="Microsoft YaHei" w:hAnsi="Microsoft YaHei" w:cs="Microsoft YaHei" w:hint="eastAsia"/>
          <w:lang w:eastAsia="zh-CN"/>
        </w:rPr>
        <w:t>陪跑</w:t>
      </w:r>
      <w:r>
        <w:t>—</w:t>
      </w:r>
      <w:r>
        <w:rPr>
          <w:rFonts w:ascii="Microsoft YaHei" w:eastAsia="Microsoft YaHei" w:hAnsi="Microsoft YaHei" w:cs="Microsoft YaHei" w:hint="eastAsia"/>
          <w:lang w:eastAsia="zh-CN"/>
        </w:rPr>
        <w:t>复盘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四步赋能，与赋能中心业务体系保持一致。</w:t>
      </w:r>
    </w:p>
    <w:p>
      <w:pPr>
        <w:pStyle w:val="ListNumber"/>
        <w:numPr>
          <w:ilvl w:val="0"/>
          <w:numId w:val="12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开业陪跑</w:t>
      </w:r>
      <w:r>
        <w:rPr>
          <w:rFonts w:ascii="Microsoft YaHei" w:eastAsia="Microsoft YaHei" w:hAnsi="Microsoft YaHei" w:cs="Microsoft YaHei" w:hint="eastAsia"/>
          <w:lang w:eastAsia="zh-CN"/>
        </w:rPr>
        <w:t>：门店开业初期，城市学院安排专人</w:t>
      </w:r>
      <w:r>
        <w:t xml:space="preserve"> 1—2 </w:t>
      </w:r>
      <w:r>
        <w:rPr>
          <w:rFonts w:ascii="Microsoft YaHei" w:eastAsia="Microsoft YaHei" w:hAnsi="Microsoft YaHei" w:cs="Microsoft YaHei" w:hint="eastAsia"/>
          <w:lang w:eastAsia="zh-CN"/>
        </w:rPr>
        <w:t>天驻点辅导（含系统开通、客户档案建立、体验流程）；</w:t>
      </w:r>
    </w:p>
    <w:p>
      <w:pPr>
        <w:pStyle w:val="ListNumber"/>
        <w:numPr>
          <w:ilvl w:val="0"/>
          <w:numId w:val="12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月度辅导</w:t>
      </w:r>
      <w:r>
        <w:rPr>
          <w:rFonts w:ascii="Microsoft YaHei" w:eastAsia="Microsoft YaHei" w:hAnsi="Microsoft YaHei" w:cs="Microsoft YaHei" w:hint="eastAsia"/>
          <w:lang w:eastAsia="zh-CN"/>
        </w:rPr>
        <w:t>：每月至少</w:t>
      </w:r>
      <w:r>
        <w:t xml:space="preserve"> 1 </w:t>
      </w:r>
      <w:r>
        <w:rPr>
          <w:rFonts w:ascii="Microsoft YaHei" w:eastAsia="Microsoft YaHei" w:hAnsi="Microsoft YaHei" w:cs="Microsoft YaHei" w:hint="eastAsia"/>
          <w:lang w:eastAsia="zh-CN"/>
        </w:rPr>
        <w:t>次线上或电话辅导，重点抓客户档案与转介绍流程；</w:t>
      </w:r>
    </w:p>
    <w:p>
      <w:pPr>
        <w:pStyle w:val="ListNumber"/>
        <w:numPr>
          <w:ilvl w:val="0"/>
          <w:numId w:val="12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技术赋能</w:t>
      </w:r>
      <w:r>
        <w:rPr>
          <w:rFonts w:ascii="Microsoft YaHei" w:eastAsia="Microsoft YaHei" w:hAnsi="Microsoft YaHei" w:cs="Microsoft YaHei" w:hint="eastAsia"/>
          <w:lang w:eastAsia="zh-CN"/>
        </w:rPr>
        <w:t>：门店人员由城市学院提供技术培训名额，优先参加认证班；</w:t>
      </w:r>
    </w:p>
    <w:p>
      <w:pPr>
        <w:pStyle w:val="ListNumber"/>
        <w:numPr>
          <w:ilvl w:val="0"/>
          <w:numId w:val="12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物料与活动支持</w:t>
      </w:r>
      <w:r>
        <w:rPr>
          <w:rFonts w:ascii="Microsoft YaHei" w:eastAsia="Microsoft YaHei" w:hAnsi="Microsoft YaHei" w:cs="Microsoft YaHei" w:hint="eastAsia"/>
          <w:lang w:eastAsia="zh-CN"/>
        </w:rPr>
        <w:t>：统一提供宣传物料、体验券、活动方案；</w:t>
      </w:r>
    </w:p>
    <w:p>
      <w:pPr>
        <w:pStyle w:val="ListNumber"/>
        <w:numPr>
          <w:ilvl w:val="0"/>
          <w:numId w:val="12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提货与服务支持</w:t>
      </w:r>
      <w:r>
        <w:rPr>
          <w:rFonts w:ascii="Microsoft YaHei" w:eastAsia="Microsoft YaHei" w:hAnsi="Microsoft YaHei" w:cs="Microsoft YaHei" w:hint="eastAsia"/>
          <w:lang w:eastAsia="zh-CN"/>
        </w:rPr>
        <w:t>：门店提货由城市学院统一安排供应与配送。</w:t>
      </w:r>
    </w:p>
    <w:p>
      <w:bookmarkStart w:id="6" w:name="section-7"/>
      <w:pPr>
        <w:pStyle w:val="Heading2"/>
        <w:spacing w:line="324" w:lineRule="auto" w:before="576" w:after="224"/>
        <w:jc w:val="left"/>
        <w:pBdr>
          <w:left w:val="single" w:sz="18" w:space="10" w:color="1B5E4B"/>
        </w:pBdr>
      </w:pPr>
      <w:bookmarkEnd w:id="6"/>
      <w:r>
        <w:rPr>
          <w:rFonts w:ascii="Microsoft YaHei" w:hAnsi="Microsoft YaHei" w:eastAsia="Microsoft YaHei" w:cs="Microsoft YaHei" w:hint="eastAsia"/>
          <w:b/>
          <w:color w:val="17332A"/>
          <w:sz w:val="32"/>
          <w:lang w:eastAsia="zh-CN"/>
        </w:rPr>
        <w:t>七、门店经营指标与考核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本章明确门店的核心经营指标、考核周期与奖惩机制，使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赋能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有标准、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考核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有依据。</w:t>
      </w:r>
    </w:p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（一）核心经营指标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指标</w:t>
            </w:r>
          </w:p>
        </w:tc>
        <w:tc>
          <w:tcPr>
            <w:tcW w:type="dxa" w:w="288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要求</w:t>
            </w:r>
          </w:p>
        </w:tc>
        <w:tc>
          <w:tcPr>
            <w:tcW w:type="dxa" w:w="288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考核周期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客户建档数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每月新增建档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 xml:space="preserve"> ≥20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人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月度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客户档案完整率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≥90%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季度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转介绍线索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每月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 xml:space="preserve"> ≥10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条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月度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体验转化率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≥30%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月度</w:t>
            </w:r>
          </w:p>
        </w:tc>
      </w:tr>
      <w:tr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提货额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按协议约定目标</w:t>
            </w:r>
          </w:p>
        </w:tc>
        <w:tc>
          <w:tcPr>
            <w:tcW w:type="dxa" w:w="288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季度</w:t>
            </w:r>
          </w:p>
        </w:tc>
      </w:tr>
    </w:tbl>
    <w:p>
      <w:pPr>
        <w:pStyle w:val="Heading3"/>
        <w:spacing w:before="312" w:after="130"/>
        <w:jc w:val="left"/>
      </w:pPr>
      <w:r>
        <w:rPr>
          <w:rFonts w:ascii="Microsoft YaHei" w:hAnsi="Microsoft YaHei" w:eastAsia="Microsoft YaHei" w:cs="Microsoft YaHei" w:hint="eastAsia"/>
          <w:b/>
          <w:color w:val="2E8B6F"/>
          <w:sz w:val="26"/>
          <w:lang w:eastAsia="zh-CN"/>
        </w:rPr>
        <w:t>（二）考核与激励</w:t>
      </w:r>
    </w:p>
    <w:p>
      <w:pPr>
        <w:pStyle w:val="ListNumber"/>
        <w:numPr>
          <w:ilvl w:val="0"/>
          <w:numId w:val="13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季度考核达标的门店，提货返利上浮、优先获得物料与活动支持；</w:t>
      </w:r>
    </w:p>
    <w:p>
      <w:pPr>
        <w:pStyle w:val="ListNumber"/>
        <w:numPr>
          <w:ilvl w:val="0"/>
          <w:numId w:val="13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连续两个季度不达标的门店，进入辅导期，由城市学院专项辅导</w:t>
      </w:r>
      <w:r>
        <w:t xml:space="preserve"> 60 </w:t>
      </w:r>
      <w:r>
        <w:rPr>
          <w:rFonts w:ascii="Microsoft YaHei" w:eastAsia="Microsoft YaHei" w:hAnsi="Microsoft YaHei" w:cs="Microsoft YaHei" w:hint="eastAsia"/>
          <w:lang w:eastAsia="zh-CN"/>
        </w:rPr>
        <w:t>天；</w:t>
      </w:r>
    </w:p>
    <w:p>
      <w:pPr>
        <w:pStyle w:val="ListNumber"/>
        <w:numPr>
          <w:ilvl w:val="0"/>
          <w:numId w:val="13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辅导期仍不达标的，暂停提货返利或终止协议。</w:t>
      </w:r>
    </w:p>
    <w:p>
      <w:bookmarkStart w:id="7" w:name="section-8"/>
      <w:pPr>
        <w:pStyle w:val="Heading2"/>
        <w:spacing w:line="324" w:lineRule="auto" w:before="576" w:after="224"/>
        <w:jc w:val="left"/>
        <w:pBdr>
          <w:left w:val="single" w:sz="18" w:space="10" w:color="1B5E4B"/>
        </w:pBdr>
      </w:pPr>
      <w:bookmarkEnd w:id="7"/>
      <w:r>
        <w:rPr>
          <w:rFonts w:ascii="Microsoft YaHei" w:hAnsi="Microsoft YaHei" w:eastAsia="Microsoft YaHei" w:cs="Microsoft YaHei" w:hint="eastAsia"/>
          <w:b/>
          <w:color w:val="17332A"/>
          <w:sz w:val="32"/>
          <w:lang w:eastAsia="zh-CN"/>
        </w:rPr>
        <w:t>八、提货、结算与激励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清晰的利益分配是门店长期稳定的基础。本章明确提货方式、佣金返利与结算规则。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320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1B5E4B"/>
            <w:vAlign w:val="center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Microsoft YaHei" w:hAnsi="Microsoft YaHei" w:eastAsia="Microsoft YaHei" w:hint="eastAsia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提货方式</w:t>
            </w:r>
          </w:p>
        </w:tc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通过系统向城市学院下单，由城市学院统一供应，门店不得私采</w:t>
            </w:r>
          </w:p>
        </w:tc>
      </w:tr>
      <w:tr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转介绍佣金</w:t>
            </w:r>
          </w:p>
        </w:tc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门店推荐学员成交，按学费的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 xml:space="preserve"> 10%—20%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给予佣金</w:t>
            </w:r>
          </w:p>
        </w:tc>
      </w:tr>
      <w:tr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提货返利</w:t>
            </w:r>
          </w:p>
        </w:tc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按季度提货额给予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 xml:space="preserve"> 3%—8% 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返利</w:t>
            </w:r>
          </w:p>
        </w:tc>
      </w:tr>
      <w:tr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结算方式</w:t>
            </w:r>
          </w:p>
        </w:tc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shd w:val="clear" w:color="auto" w:fill="F2F7F5"/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统一系统对账，按月对账、按季结算，门店不得私收款项</w:t>
            </w:r>
          </w:p>
        </w:tc>
      </w:tr>
      <w:tr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激励活动</w:t>
            </w:r>
          </w:p>
        </w:tc>
        <w:tc>
          <w:tcPr>
            <w:tcW w:type="dxa" w:w="4320"/>
            <w:vAlign w:val="center"/>
            <w:tcBorders>
              <w:top w:val="single" w:sz="6" w:space="0" w:color="D6E0DB"/>
              <w:bottom w:val="single" w:sz="6" w:space="0" w:color="D6E0DB"/>
              <w:left w:val="single" w:sz="6" w:space="0" w:color="D6E0DB"/>
              <w:right w:val="single" w:sz="6" w:space="0" w:color="D6E0DB"/>
            </w:tcBorders>
            <w:tcMar>
              <w:top w:w="120" w:type="dxa"/>
              <w:bottom w:w="120" w:type="dxa"/>
              <w:left w:w="168" w:type="dxa"/>
              <w:right w:w="168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B2B2B"/>
                <w:sz w:val="19"/>
              </w:rPr>
              <w:t>季度排名奖励、优秀门店授牌、旅游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/</w:t>
            </w:r>
            <w:r>
              <w:rPr>
                <w:color w:val="2B2B2B"/>
                <w:sz w:val="19"/>
              </w:rPr>
              <w:t xml:space="preserve"> </w:t>
            </w:r>
            <w:r>
              <w:rPr>
                <w:color w:val="2B2B2B"/>
                <w:sz w:val="19"/>
              </w:rPr>
              <w:t>培训名额</w:t>
            </w:r>
          </w:p>
        </w:tc>
      </w:tr>
    </w:tbl>
    <w:p>
      <w:bookmarkStart w:id="8" w:name="section-9"/>
      <w:pPr>
        <w:pStyle w:val="Heading2"/>
        <w:spacing w:line="324" w:lineRule="auto" w:before="576" w:after="224"/>
        <w:jc w:val="left"/>
        <w:pBdr>
          <w:left w:val="single" w:sz="18" w:space="10" w:color="1B5E4B"/>
        </w:pBdr>
      </w:pPr>
      <w:bookmarkEnd w:id="8"/>
      <w:r>
        <w:rPr>
          <w:rFonts w:ascii="Microsoft YaHei" w:hAnsi="Microsoft YaHei" w:eastAsia="Microsoft YaHei" w:cs="Microsoft YaHei" w:hint="eastAsia"/>
          <w:b/>
          <w:color w:val="17332A"/>
          <w:sz w:val="32"/>
          <w:lang w:eastAsia="zh-CN"/>
        </w:rPr>
        <w:t>九、门店合规红线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门店直接面对客户，是品牌风险的高发点。以下红线任何情况下不得触碰：</w:t>
      </w:r>
    </w:p>
    <w:p>
      <w:pPr>
        <w:pStyle w:val="ListNumber"/>
        <w:numPr>
          <w:ilvl w:val="0"/>
          <w:numId w:val="14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不得以医疗服务、疾病治疗名义宣传，不得承诺疗效；</w:t>
      </w:r>
    </w:p>
    <w:p>
      <w:pPr>
        <w:pStyle w:val="ListNumber"/>
        <w:numPr>
          <w:ilvl w:val="0"/>
          <w:numId w:val="14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不得自行开课、擅自定价或超范围经营；</w:t>
      </w:r>
    </w:p>
    <w:p>
      <w:pPr>
        <w:pStyle w:val="ListNumber"/>
        <w:numPr>
          <w:ilvl w:val="0"/>
          <w:numId w:val="14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从业人员涉及调理服务的须持证上岗，未持证者不得独立开展服务；</w:t>
      </w:r>
    </w:p>
    <w:p>
      <w:pPr>
        <w:pStyle w:val="ListNumber"/>
        <w:numPr>
          <w:ilvl w:val="0"/>
          <w:numId w:val="14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客户个人信息依规收集与保护，不得外泄；</w:t>
      </w:r>
    </w:p>
    <w:p>
      <w:pPr>
        <w:pStyle w:val="ListNumber"/>
        <w:numPr>
          <w:ilvl w:val="0"/>
          <w:numId w:val="14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不得私采产品、私自收款、跨区经营或转授权；</w:t>
      </w:r>
    </w:p>
    <w:p>
      <w:pPr>
        <w:pStyle w:val="ListNumber"/>
        <w:numPr>
          <w:ilvl w:val="0"/>
          <w:numId w:val="14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物料、话术须使用城市学院统一版本，不得私自冠名商学院品牌。</w:t>
      </w:r>
    </w:p>
    <w:p>
      <w:bookmarkStart w:id="9" w:name="section-10"/>
      <w:pPr>
        <w:pStyle w:val="Heading2"/>
        <w:spacing w:line="324" w:lineRule="auto" w:before="576" w:after="224"/>
        <w:jc w:val="left"/>
        <w:pBdr>
          <w:left w:val="single" w:sz="18" w:space="10" w:color="1B5E4B"/>
        </w:pBdr>
      </w:pPr>
      <w:bookmarkEnd w:id="9"/>
      <w:r>
        <w:rPr>
          <w:rFonts w:ascii="Microsoft YaHei" w:hAnsi="Microsoft YaHei" w:eastAsia="Microsoft YaHei" w:cs="Microsoft YaHei" w:hint="eastAsia"/>
          <w:b/>
          <w:color w:val="17332A"/>
          <w:sz w:val="32"/>
          <w:lang w:eastAsia="zh-CN"/>
        </w:rPr>
        <w:t>十、门店退出机制</w:t>
      </w:r>
    </w:p>
    <w:p>
      <w:pPr>
        <w:spacing w:line="408" w:lineRule="auto" w:before="0" w:after="168"/>
        <w:ind w:firstLine="0"/>
        <w:jc w:val="both"/>
      </w:pPr>
      <w:r>
        <w:rPr>
          <w:rFonts w:ascii="Microsoft YaHei" w:eastAsia="Microsoft YaHei" w:hAnsi="Microsoft YaHei" w:cs="Microsoft YaHei" w:hint="eastAsia"/>
          <w:lang w:eastAsia="zh-CN"/>
        </w:rPr>
        <w:t>有进有退才能保持门店质量。本章明确正常退出、违约退出与清算规则。</w:t>
      </w:r>
    </w:p>
    <w:p>
      <w:pPr>
        <w:pStyle w:val="ListNumber"/>
        <w:numPr>
          <w:ilvl w:val="0"/>
          <w:numId w:val="15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正常退出</w:t>
      </w:r>
      <w:r>
        <w:rPr>
          <w:rFonts w:ascii="Microsoft YaHei" w:eastAsia="Microsoft YaHei" w:hAnsi="Microsoft YaHei" w:cs="Microsoft YaHei" w:hint="eastAsia"/>
          <w:lang w:eastAsia="zh-CN"/>
        </w:rPr>
        <w:t>：协议到期或双方协商一致退出，须完成客户交接、库存清算、品牌物料回收；</w:t>
      </w:r>
    </w:p>
    <w:p>
      <w:pPr>
        <w:pStyle w:val="ListNumber"/>
        <w:numPr>
          <w:ilvl w:val="0"/>
          <w:numId w:val="15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违约退出</w:t>
      </w:r>
      <w:r>
        <w:rPr>
          <w:rFonts w:ascii="Microsoft YaHei" w:eastAsia="Microsoft YaHei" w:hAnsi="Microsoft YaHei" w:cs="Microsoft YaHei" w:hint="eastAsia"/>
          <w:lang w:eastAsia="zh-CN"/>
        </w:rPr>
        <w:t>：出现合规红线行为、连续不达标、私采私收等，城市学院可单方终止协议并追责；</w:t>
      </w:r>
    </w:p>
    <w:p>
      <w:pPr>
        <w:pStyle w:val="ListNumber"/>
        <w:numPr>
          <w:ilvl w:val="0"/>
          <w:numId w:val="15"/>
        </w:numPr>
        <w:spacing w:line="408" w:lineRule="auto" w:after="96"/>
        <w:jc w:val="both"/>
      </w:pPr>
      <w:r>
        <w:rPr>
          <w:rFonts w:ascii="Microsoft YaHei" w:eastAsia="Microsoft YaHei" w:hAnsi="Microsoft YaHei" w:cs="Microsoft YaHei" w:hint="eastAsia"/>
          <w:b/>
          <w:lang w:eastAsia="zh-CN"/>
        </w:rPr>
        <w:t>退出清算</w:t>
      </w:r>
      <w:r>
        <w:rPr>
          <w:rFonts w:ascii="Microsoft YaHei" w:eastAsia="Microsoft YaHei" w:hAnsi="Microsoft YaHei" w:cs="Microsoft YaHei" w:hint="eastAsia"/>
          <w:lang w:eastAsia="zh-CN"/>
        </w:rPr>
        <w:t>：按协议处理未结佣金、提货返利、保证金退还与库存回购。</w:t>
      </w:r>
    </w:p>
    <w:p>
      <w:pPr>
        <w:spacing w:line="408" w:lineRule="auto" w:before="0" w:after="0"/>
        <w:ind w:firstLine="0"/>
        <w:jc w:val="left"/>
      </w:pPr>
      <w:r>
        <w:rPr>
          <w:rFonts w:ascii="Microsoft YaHei" w:eastAsia="Microsoft YaHei" w:hAnsi="Microsoft YaHei" w:cs="Microsoft YaHei" w:hint="eastAsia"/>
          <w:lang w:eastAsia="zh-CN"/>
        </w:rPr>
        <w:t>附注：本手册为次一级门店开设与运营标准文件。门店门槛虽低，但管理标准不低</w:t>
      </w:r>
      <w:r>
        <w:t>——</w:t>
      </w:r>
      <w:r>
        <w:rPr>
          <w:rFonts w:ascii="Microsoft YaHei" w:eastAsia="Microsoft YaHei" w:hAnsi="Microsoft YaHei" w:cs="Microsoft YaHei" w:hint="eastAsia"/>
          <w:lang w:eastAsia="zh-CN"/>
        </w:rPr>
        <w:t>城市学院须对门店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扶上马、送一程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，确保每一个门店都能真正产生客户与业绩。门店数据纳入城市学院赋能考核，作为城市学院晋级评审的佐证材料之一。</w:t>
      </w:r>
      <w:r/>
      <w:r/>
      <w:r/>
    </w:p>
    <w:sectPr w:rsidR="00FC693F" w:rsidRPr="0006063C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/>
    </w:pPr>
    <w:rPr>
      <w:rFonts w:ascii="Microsoft YaHei" w:hAnsi="Microsoft YaHei" w:eastAsia="Microsoft YaHei"/>
      <w:color w:val="2B2B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